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Symbol" w:cs="Symbol" w:ascii="Symbol" w:hAnsi="Symbol"/>
          <w:iCs/>
          <w:color w:val="000000"/>
          <w:sz w:val="20"/>
          <w:szCs w:val="20"/>
          <w:lang w:eastAsia="pl-PL"/>
        </w:rPr>
        <w:t>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edycja 2024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/>
        <w:jc w:val="center"/>
        <w:rPr>
          <w:rFonts w:cs="Calibri"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– edycja 2024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–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– mycie okien maksymalnie 2 razy w roku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przemieszczaniu się poza miejscem zamieszkania: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sdt>
        <w:sdtPr>
          <w14:checkbox>
            <w14:checked w:val=""/>
            <w14:checkedState w:val=""/>
            <w14:uncheckedState w:val=""/>
          </w14:checkbox>
        </w:sdtPr>
        <w:sdtContent>
          <w:bookmarkEnd w:id="1"/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2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sdt>
        <w:sdtPr>
          <w14:checkbox>
            <w14:checked w:val=""/>
            <w14:checkedState w:val=""/>
            <w14:uncheckedState w:val=""/>
          </w14:checkbox>
        </w:sdtPr>
        <w:sdtContent>
          <w:bookmarkEnd w:id="2"/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Start w:id="3" w:name="_Hlk142386665"/>
      <w:bookmarkEnd w:id="3"/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/>
      </w:pPr>
      <w:r>
        <w:rPr>
          <w:rFonts w:cs="Calibri"/>
        </w:rPr>
        <w:t>Miejscowość, dnia ……………………… .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7382565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rFonts w:ascii="Calibri" w:hAnsi="Calibri" w:cs="Calibri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LibreOffice/6.3.4.2$Windows_X86_64 LibreOffice_project/60da17e045e08f1793c57c00ba83cdfce946d0aa</Application>
  <Pages>3</Pages>
  <Words>578</Words>
  <Characters>3674</Characters>
  <CharactersWithSpaces>4180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2023-07-11T12:52:00Z</dcterms:created>
  <dc:creator>Anna Kuczyńska;Elżbieta Cieślak</dc:creator>
  <dc:description/>
  <dc:language>pl-PL</dc:language>
  <cp:lastModifiedBy/>
  <cp:lastPrinted>2022-09-22T07:16:00Z</cp:lastPrinted>
  <dcterms:modified xsi:type="dcterms:W3CDTF">2024-02-01T13:03:27Z</dcterms:modified>
  <cp:revision>19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